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CA477" w14:textId="77777777" w:rsidR="00396E40" w:rsidRDefault="00396E40" w:rsidP="00E11E2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دخول الرياء على العبادة</w:t>
      </w:r>
    </w:p>
    <w:p w14:paraId="2E6E459F" w14:textId="77777777" w:rsidR="00E11E2A" w:rsidRDefault="00E11E2A" w:rsidP="00E11E2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اتصال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أوجه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14:paraId="5771A247" w14:textId="77777777" w:rsidR="00E11E2A" w:rsidRDefault="003B2914" w:rsidP="00E11E2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E11E2A">
        <w:rPr>
          <w:rFonts w:ascii="Traditional Arabic" w:cs="Traditional Arabic" w:hint="eastAsia"/>
          <w:sz w:val="36"/>
          <w:szCs w:val="36"/>
          <w:rtl/>
        </w:rPr>
        <w:t>الوجه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الأول</w:t>
      </w:r>
      <w:r w:rsidR="00E11E2A">
        <w:rPr>
          <w:rFonts w:ascii="Traditional Arabic" w:cs="Traditional Arabic"/>
          <w:sz w:val="36"/>
          <w:szCs w:val="36"/>
          <w:rtl/>
        </w:rPr>
        <w:t xml:space="preserve"> : </w:t>
      </w:r>
      <w:r w:rsidR="00E11E2A">
        <w:rPr>
          <w:rFonts w:ascii="Traditional Arabic" w:cs="Traditional Arabic" w:hint="eastAsia"/>
          <w:sz w:val="36"/>
          <w:szCs w:val="36"/>
          <w:rtl/>
        </w:rPr>
        <w:t>أن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يكون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الباعث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على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العبادة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مراءاة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الناس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من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الأصل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؛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كمن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قام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يصلي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مراءاة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الناس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،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من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أجل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أن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يمدحه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الناس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على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صلاته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،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فهذا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مبطل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للعبادة</w:t>
      </w:r>
      <w:r w:rsidR="00E11E2A">
        <w:rPr>
          <w:rFonts w:ascii="Traditional Arabic" w:cs="Traditional Arabic"/>
          <w:sz w:val="36"/>
          <w:szCs w:val="36"/>
          <w:rtl/>
        </w:rPr>
        <w:t xml:space="preserve"> .</w:t>
      </w:r>
    </w:p>
    <w:p w14:paraId="3D6B5C81" w14:textId="77777777" w:rsidR="00E11E2A" w:rsidRDefault="003B2914" w:rsidP="00E11E2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E11E2A">
        <w:rPr>
          <w:rFonts w:ascii="Traditional Arabic" w:cs="Traditional Arabic" w:hint="eastAsia"/>
          <w:sz w:val="36"/>
          <w:szCs w:val="36"/>
          <w:rtl/>
        </w:rPr>
        <w:t>الوجه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الثاني</w:t>
      </w:r>
      <w:r w:rsidR="00E11E2A">
        <w:rPr>
          <w:rFonts w:ascii="Traditional Arabic" w:cs="Traditional Arabic"/>
          <w:sz w:val="36"/>
          <w:szCs w:val="36"/>
          <w:rtl/>
        </w:rPr>
        <w:t xml:space="preserve"> : </w:t>
      </w:r>
      <w:r w:rsidR="00E11E2A">
        <w:rPr>
          <w:rFonts w:ascii="Traditional Arabic" w:cs="Traditional Arabic" w:hint="eastAsia"/>
          <w:sz w:val="36"/>
          <w:szCs w:val="36"/>
          <w:rtl/>
        </w:rPr>
        <w:t>أن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يكون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مشاركا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للعبادة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في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أثنائها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،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بمعنى</w:t>
      </w:r>
      <w:r w:rsidR="00E11E2A">
        <w:rPr>
          <w:rFonts w:ascii="Traditional Arabic" w:cs="Traditional Arabic"/>
          <w:sz w:val="36"/>
          <w:szCs w:val="36"/>
          <w:rtl/>
        </w:rPr>
        <w:t xml:space="preserve"> : </w:t>
      </w:r>
      <w:r w:rsidR="00E11E2A">
        <w:rPr>
          <w:rFonts w:ascii="Traditional Arabic" w:cs="Traditional Arabic" w:hint="eastAsia"/>
          <w:sz w:val="36"/>
          <w:szCs w:val="36"/>
          <w:rtl/>
        </w:rPr>
        <w:t>أن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يكون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الحامل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له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في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أول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أمره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الإخلاص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لله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،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ثم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طرأ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الرياء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في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أثناء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العبادة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،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فهذه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العبادة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لا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تخلو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من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حالين</w:t>
      </w:r>
      <w:r w:rsidR="00E11E2A">
        <w:rPr>
          <w:rFonts w:ascii="Traditional Arabic" w:cs="Traditional Arabic"/>
          <w:sz w:val="36"/>
          <w:szCs w:val="36"/>
          <w:rtl/>
        </w:rPr>
        <w:t xml:space="preserve"> :</w:t>
      </w:r>
    </w:p>
    <w:p w14:paraId="5AC88B1E" w14:textId="77777777" w:rsidR="00E11E2A" w:rsidRDefault="00E11E2A" w:rsidP="00E11E2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الحال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الأولى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يرتبط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بآخرها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فأولها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وآخرها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باطل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5A8DD7F6" w14:textId="77777777" w:rsidR="00E11E2A" w:rsidRDefault="00E11E2A" w:rsidP="00E11E2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مثال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ريال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بخمسين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صدقة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خالصة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الخمسين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الباقية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فالأولى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صدقة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مقبولة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والخمسون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الباقية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صدقة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باطلة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لاختلاط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بالإخلاص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0EA2DEF3" w14:textId="77777777" w:rsidR="00E11E2A" w:rsidRDefault="00E11E2A" w:rsidP="00E11E2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الحال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الثانية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يرتبط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بآخرها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حينئذ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أمرين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14:paraId="194FB6F1" w14:textId="77777777" w:rsidR="00E11E2A" w:rsidRDefault="003B2914" w:rsidP="00E11E2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E11E2A">
        <w:rPr>
          <w:rFonts w:ascii="Traditional Arabic" w:cs="Traditional Arabic" w:hint="eastAsia"/>
          <w:sz w:val="36"/>
          <w:szCs w:val="36"/>
          <w:rtl/>
        </w:rPr>
        <w:t>الأمر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الأول</w:t>
      </w:r>
      <w:r w:rsidR="00E11E2A">
        <w:rPr>
          <w:rFonts w:ascii="Traditional Arabic" w:cs="Traditional Arabic"/>
          <w:sz w:val="36"/>
          <w:szCs w:val="36"/>
          <w:rtl/>
        </w:rPr>
        <w:t xml:space="preserve"> : </w:t>
      </w:r>
      <w:r w:rsidR="00E11E2A">
        <w:rPr>
          <w:rFonts w:ascii="Traditional Arabic" w:cs="Traditional Arabic" w:hint="eastAsia"/>
          <w:sz w:val="36"/>
          <w:szCs w:val="36"/>
          <w:rtl/>
        </w:rPr>
        <w:t>أن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يدافع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الرياء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ولا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يسكن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إليه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،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بل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يعرض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عنه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ويكرهه</w:t>
      </w:r>
      <w:r w:rsidR="00E11E2A">
        <w:rPr>
          <w:rFonts w:ascii="Traditional Arabic" w:cs="Traditional Arabic"/>
          <w:sz w:val="36"/>
          <w:szCs w:val="36"/>
          <w:rtl/>
        </w:rPr>
        <w:t xml:space="preserve"> :</w:t>
      </w:r>
    </w:p>
    <w:p w14:paraId="222A0AE7" w14:textId="77777777" w:rsidR="00E11E2A" w:rsidRDefault="00E11E2A" w:rsidP="00E11E2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تجاوز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41F1011B" w14:textId="77777777" w:rsidR="00E11E2A" w:rsidRDefault="00E11E2A" w:rsidP="00E11E2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حدثت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أنفسها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تتكلم</w:t>
      </w:r>
      <w:r>
        <w:rPr>
          <w:rFonts w:ascii="Traditional Arabic" w:cs="Traditional Arabic"/>
          <w:sz w:val="36"/>
          <w:szCs w:val="36"/>
          <w:rtl/>
        </w:rPr>
        <w:t xml:space="preserve"> " .</w:t>
      </w:r>
    </w:p>
    <w:p w14:paraId="55C443B2" w14:textId="77777777" w:rsidR="00E11E2A" w:rsidRDefault="003B2914" w:rsidP="003B291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E11E2A">
        <w:rPr>
          <w:rFonts w:ascii="Traditional Arabic" w:cs="Traditional Arabic" w:hint="eastAsia"/>
          <w:sz w:val="36"/>
          <w:szCs w:val="36"/>
          <w:rtl/>
        </w:rPr>
        <w:t>الأمر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الثاني</w:t>
      </w:r>
      <w:r w:rsidR="00E11E2A">
        <w:rPr>
          <w:rFonts w:ascii="Traditional Arabic" w:cs="Traditional Arabic"/>
          <w:sz w:val="36"/>
          <w:szCs w:val="36"/>
          <w:rtl/>
        </w:rPr>
        <w:t xml:space="preserve"> : </w:t>
      </w:r>
      <w:r w:rsidR="00E11E2A">
        <w:rPr>
          <w:rFonts w:ascii="Traditional Arabic" w:cs="Traditional Arabic" w:hint="eastAsia"/>
          <w:sz w:val="36"/>
          <w:szCs w:val="36"/>
          <w:rtl/>
        </w:rPr>
        <w:t>أن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يطمئن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إلى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هذا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الرياء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ولا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يدافعه</w:t>
      </w:r>
      <w:r w:rsidR="00E11E2A">
        <w:rPr>
          <w:rFonts w:ascii="Traditional Arabic" w:cs="Traditional Arabic"/>
          <w:sz w:val="36"/>
          <w:szCs w:val="36"/>
          <w:rtl/>
        </w:rPr>
        <w:t xml:space="preserve"> : </w:t>
      </w:r>
      <w:r w:rsidR="00E11E2A">
        <w:rPr>
          <w:rFonts w:ascii="Traditional Arabic" w:cs="Traditional Arabic" w:hint="eastAsia"/>
          <w:sz w:val="36"/>
          <w:szCs w:val="36"/>
          <w:rtl/>
        </w:rPr>
        <w:t>فحينئذ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تبطل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جميع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العبادة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؛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لأن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أولها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مرتبط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بآخرها</w:t>
      </w:r>
      <w:r w:rsidR="00E11E2A">
        <w:rPr>
          <w:rFonts w:ascii="Traditional Arabic" w:cs="Traditional Arabic"/>
          <w:sz w:val="36"/>
          <w:szCs w:val="36"/>
          <w:rtl/>
        </w:rPr>
        <w:t xml:space="preserve"> .</w:t>
      </w:r>
      <w:r w:rsidR="00E11E2A">
        <w:rPr>
          <w:rFonts w:ascii="Traditional Arabic" w:cs="Traditional Arabic" w:hint="eastAsia"/>
          <w:sz w:val="36"/>
          <w:szCs w:val="36"/>
          <w:rtl/>
        </w:rPr>
        <w:t>مثال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ذلك</w:t>
      </w:r>
      <w:r w:rsidR="00E11E2A">
        <w:rPr>
          <w:rFonts w:ascii="Traditional Arabic" w:cs="Traditional Arabic"/>
          <w:sz w:val="36"/>
          <w:szCs w:val="36"/>
          <w:rtl/>
        </w:rPr>
        <w:t xml:space="preserve"> : </w:t>
      </w:r>
      <w:r w:rsidR="00E11E2A">
        <w:rPr>
          <w:rFonts w:ascii="Traditional Arabic" w:cs="Traditional Arabic" w:hint="eastAsia"/>
          <w:sz w:val="36"/>
          <w:szCs w:val="36"/>
          <w:rtl/>
        </w:rPr>
        <w:t>أن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يبتدئ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الصلاة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مخلصا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بها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لله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تعالى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،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ثم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يطرأ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عليها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الرياء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في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الركعة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الثانية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،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فتبطل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الصلاة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كلها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لارتباط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أولها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بآخرها</w:t>
      </w:r>
      <w:r w:rsidR="00E11E2A">
        <w:rPr>
          <w:rFonts w:ascii="Traditional Arabic" w:cs="Traditional Arabic"/>
          <w:sz w:val="36"/>
          <w:szCs w:val="36"/>
          <w:rtl/>
        </w:rPr>
        <w:t xml:space="preserve"> .</w:t>
      </w:r>
    </w:p>
    <w:p w14:paraId="6565EA2A" w14:textId="77777777" w:rsidR="00E11E2A" w:rsidRDefault="003B2914" w:rsidP="00E11E2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E11E2A">
        <w:rPr>
          <w:rFonts w:ascii="Traditional Arabic" w:cs="Traditional Arabic" w:hint="eastAsia"/>
          <w:sz w:val="36"/>
          <w:szCs w:val="36"/>
          <w:rtl/>
        </w:rPr>
        <w:t>الوجه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الثالث</w:t>
      </w:r>
      <w:r w:rsidR="00E11E2A">
        <w:rPr>
          <w:rFonts w:ascii="Traditional Arabic" w:cs="Traditional Arabic"/>
          <w:sz w:val="36"/>
          <w:szCs w:val="36"/>
          <w:rtl/>
        </w:rPr>
        <w:t xml:space="preserve"> : </w:t>
      </w:r>
      <w:r w:rsidR="00E11E2A">
        <w:rPr>
          <w:rFonts w:ascii="Traditional Arabic" w:cs="Traditional Arabic" w:hint="eastAsia"/>
          <w:sz w:val="36"/>
          <w:szCs w:val="36"/>
          <w:rtl/>
        </w:rPr>
        <w:t>أن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يطرأ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الرياء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بعد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انتهاء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العبادة</w:t>
      </w:r>
      <w:r w:rsidR="00E11E2A">
        <w:rPr>
          <w:rFonts w:ascii="Traditional Arabic" w:cs="Traditional Arabic"/>
          <w:sz w:val="36"/>
          <w:szCs w:val="36"/>
          <w:rtl/>
        </w:rPr>
        <w:t xml:space="preserve"> : </w:t>
      </w:r>
      <w:r w:rsidR="00E11E2A">
        <w:rPr>
          <w:rFonts w:ascii="Traditional Arabic" w:cs="Traditional Arabic" w:hint="eastAsia"/>
          <w:sz w:val="36"/>
          <w:szCs w:val="36"/>
          <w:rtl/>
        </w:rPr>
        <w:t>فإنه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لا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يؤثر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عليها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ولا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يبطلها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؛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لأنها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تمت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صحيحة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فلا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تفسد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بحدوث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الرياء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بعد</w:t>
      </w:r>
      <w:r w:rsidR="00E11E2A">
        <w:rPr>
          <w:rFonts w:ascii="Traditional Arabic" w:cs="Traditional Arabic"/>
          <w:sz w:val="36"/>
          <w:szCs w:val="36"/>
          <w:rtl/>
        </w:rPr>
        <w:t xml:space="preserve"> </w:t>
      </w:r>
      <w:r w:rsidR="00E11E2A">
        <w:rPr>
          <w:rFonts w:ascii="Traditional Arabic" w:cs="Traditional Arabic" w:hint="eastAsia"/>
          <w:sz w:val="36"/>
          <w:szCs w:val="36"/>
          <w:rtl/>
        </w:rPr>
        <w:t>ذلك</w:t>
      </w:r>
      <w:r w:rsidR="00E11E2A">
        <w:rPr>
          <w:rFonts w:ascii="Traditional Arabic" w:cs="Traditional Arabic"/>
          <w:sz w:val="36"/>
          <w:szCs w:val="36"/>
          <w:rtl/>
        </w:rPr>
        <w:t xml:space="preserve"> .</w:t>
      </w:r>
    </w:p>
    <w:p w14:paraId="11D539AF" w14:textId="77777777" w:rsidR="00E11E2A" w:rsidRDefault="00E11E2A" w:rsidP="00E11E2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يفرح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بعبادته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الفراغ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العبادة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إيمانه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سرته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حسنته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وساءته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سيئته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المؤمن</w:t>
      </w:r>
      <w:r>
        <w:rPr>
          <w:rFonts w:ascii="Traditional Arabic" w:cs="Traditional Arabic"/>
          <w:sz w:val="36"/>
          <w:szCs w:val="36"/>
          <w:rtl/>
        </w:rPr>
        <w:t xml:space="preserve"> " .</w:t>
      </w:r>
    </w:p>
    <w:p w14:paraId="3C129BAE" w14:textId="77777777" w:rsidR="00E11E2A" w:rsidRDefault="00E11E2A" w:rsidP="003B291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r w:rsidR="003B2914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eastAsia"/>
          <w:sz w:val="36"/>
          <w:szCs w:val="36"/>
          <w:rtl/>
        </w:rPr>
        <w:t>تلك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بشرى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المؤمن</w:t>
      </w:r>
      <w:r>
        <w:rPr>
          <w:rFonts w:ascii="Traditional Arabic" w:cs="Traditional Arabic"/>
          <w:sz w:val="36"/>
          <w:szCs w:val="36"/>
          <w:rtl/>
        </w:rPr>
        <w:t xml:space="preserve"> " .</w:t>
      </w:r>
    </w:p>
    <w:p w14:paraId="30EB4963" w14:textId="63473406" w:rsidR="00C16711" w:rsidRPr="003B2914" w:rsidRDefault="00396E40" w:rsidP="003B291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الشيخ محمد بن صالح العثيمين</w:t>
      </w:r>
      <w:r w:rsidR="00E34927">
        <w:rPr>
          <w:rFonts w:ascii="Traditional Arabic" w:cs="Traditional Arabic" w:hint="cs"/>
          <w:sz w:val="36"/>
          <w:szCs w:val="36"/>
          <w:rtl/>
        </w:rPr>
        <w:t xml:space="preserve"> </w:t>
      </w:r>
    </w:p>
    <w:sectPr w:rsidR="00C16711" w:rsidRPr="003B2914" w:rsidSect="00C1671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E22"/>
    <w:rsid w:val="00365DF1"/>
    <w:rsid w:val="00396E40"/>
    <w:rsid w:val="003B2914"/>
    <w:rsid w:val="003D1E22"/>
    <w:rsid w:val="00570AB7"/>
    <w:rsid w:val="00974DE6"/>
    <w:rsid w:val="00C16711"/>
    <w:rsid w:val="00E11E2A"/>
    <w:rsid w:val="00E3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584EC9F"/>
  <w15:docId w15:val="{FE4F1030-CC64-4648-8A8B-F32256FD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570AB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اتصال الرياء بالعبادة على ثلاثة أوجه :</vt:lpstr>
    </vt:vector>
  </TitlesOfParts>
  <Company>asrg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اتصال الرياء بالعبادة على ثلاثة أوجه :</dc:title>
  <dc:subject/>
  <dc:creator>mohamed.mohamed</dc:creator>
  <cp:keywords/>
  <dc:description/>
  <cp:lastModifiedBy>Mohamed Hassan</cp:lastModifiedBy>
  <cp:revision>6</cp:revision>
  <dcterms:created xsi:type="dcterms:W3CDTF">2014-09-01T22:34:00Z</dcterms:created>
  <dcterms:modified xsi:type="dcterms:W3CDTF">2021-04-11T15:40:00Z</dcterms:modified>
</cp:coreProperties>
</file>