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15" w:rsidRPr="000B270E" w:rsidRDefault="00BD1FE9" w:rsidP="000B270E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0B270E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0B270E">
        <w:rPr>
          <w:rFonts w:ascii="Traditional Arabic" w:hAnsi="Traditional Arabic" w:cs="Traditional Arabic"/>
          <w:sz w:val="36"/>
          <w:szCs w:val="36"/>
          <w:rtl/>
        </w:rPr>
        <w:t>من أحدث في أمرنا</w:t>
      </w:r>
    </w:p>
    <w:p w:rsidR="00BE7215" w:rsidRDefault="00BD1FE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E7215" w:rsidRDefault="00BD1FE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أحدث في أمرنا هذا ماليس منه فهو رد</w:t>
      </w:r>
    </w:p>
    <w:p w:rsidR="00BD1FE9" w:rsidRDefault="00BD1FE9" w:rsidP="00BD1FE9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BD1FE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E7215"/>
    <w:rsid w:val="000B270E"/>
    <w:rsid w:val="00BD1FE9"/>
    <w:rsid w:val="00B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8D95"/>
  <w15:docId w15:val="{45B2C6F0-4FC7-4772-A46D-2A88449B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2015-02-23T13:39:00Z</dcterms:created>
  <dcterms:modified xsi:type="dcterms:W3CDTF">2017-06-04T10:23:00Z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