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87" w:rsidRDefault="00A67E87" w:rsidP="00832B3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</w:t>
      </w:r>
      <w:r>
        <w:rPr>
          <w:rFonts w:cs="Traditional Arabic" w:hint="cs"/>
          <w:sz w:val="36"/>
          <w:szCs w:val="36"/>
          <w:rtl/>
          <w:lang w:bidi="ar-QA"/>
        </w:rPr>
        <w:t>لا تسأل المرأة طلاق أختها</w:t>
      </w:r>
    </w:p>
    <w:p w:rsidR="00832B3F" w:rsidRDefault="00A67E87" w:rsidP="00A67E8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32B3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32B3F" w:rsidRDefault="00A67E87" w:rsidP="00832B3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832B3F">
        <w:rPr>
          <w:rFonts w:cs="Traditional Arabic" w:hint="cs"/>
          <w:sz w:val="36"/>
          <w:szCs w:val="36"/>
          <w:rtl/>
          <w:lang w:bidi="ar-QA"/>
        </w:rPr>
        <w:t>لا تسأل المرأة طلاق أختها لتستكفي إناءها</w:t>
      </w:r>
    </w:p>
    <w:p w:rsidR="00832B3F" w:rsidRDefault="00832B3F" w:rsidP="00832B3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</w:p>
    <w:p w:rsidR="00FE03AE" w:rsidRPr="00A67E87" w:rsidRDefault="00832B3F" w:rsidP="00A67E87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أي أنه لا ينبغي أن تسأل المرأة زوجها أن يطلق ضرتها لتنفرد به</w:t>
      </w:r>
      <w:bookmarkEnd w:id="0"/>
    </w:p>
    <w:sectPr w:rsidR="00FE03AE" w:rsidRPr="00A67E87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2B3F"/>
    <w:rsid w:val="00832B3F"/>
    <w:rsid w:val="00A67E87"/>
    <w:rsid w:val="00E33D43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4529"/>
  <w15:docId w15:val="{F90939D0-27B9-4C8F-8CD3-CB35AD55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>sak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2015-02-15T04:44:00Z</dcterms:created>
  <dcterms:modified xsi:type="dcterms:W3CDTF">2017-05-21T06:18:00Z</dcterms:modified>
</cp:coreProperties>
</file>