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20" w:rsidRDefault="00F6672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قو</w:t>
      </w:r>
      <w:r>
        <w:rPr>
          <w:rFonts w:ascii="Traditional Arabic" w:hAnsi="Traditional Arabic" w:cs="Traditional Arabic"/>
          <w:sz w:val="36"/>
          <w:szCs w:val="36"/>
          <w:rtl/>
        </w:rPr>
        <w:t>م يقومون من مجلس لا يذكرون الله</w:t>
      </w:r>
    </w:p>
    <w:p w:rsidR="00BF4950" w:rsidRDefault="00F66720" w:rsidP="00F6672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F4950" w:rsidRDefault="00F6672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قوم يقومون من مجلس لا يذكرون الله فيه إلا قاموا عن مثل جيفة حمار وكان لهم حسرة</w:t>
      </w:r>
    </w:p>
    <w:p w:rsidR="00BF4950" w:rsidRDefault="00F66720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BF495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F4950"/>
    <w:rsid w:val="00BF4950"/>
    <w:rsid w:val="00F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C2BD"/>
  <w15:docId w15:val="{ECC1D95C-FADA-434C-A3FF-52F2C7C2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2015-02-03T05:58:00Z</dcterms:created>
  <dcterms:modified xsi:type="dcterms:W3CDTF">2017-04-11T10:00:00Z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