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B18" w:rsidRDefault="00ED5B18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الع</w:t>
      </w:r>
      <w:r>
        <w:rPr>
          <w:rFonts w:ascii="Traditional Arabic" w:hAnsi="Traditional Arabic" w:cs="Traditional Arabic"/>
          <w:sz w:val="36"/>
          <w:szCs w:val="36"/>
          <w:rtl/>
        </w:rPr>
        <w:t>مرة إلى العمرة كفارة لما بينهما</w:t>
      </w:r>
    </w:p>
    <w:p w:rsidR="00B17E58" w:rsidRDefault="00ED5B18" w:rsidP="00ED5B18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B17E58" w:rsidRDefault="00ED5B18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العمرة إلى العمرة كفارة لما بينهما والحج المبرور ليس له جزاء إلا الجنة</w:t>
      </w:r>
    </w:p>
    <w:p w:rsidR="00B17E58" w:rsidRDefault="00ED5B18" w:rsidP="00ED5B18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B17E58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B17E58"/>
    <w:rsid w:val="00B17E58"/>
    <w:rsid w:val="00ED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A2A08"/>
  <w15:docId w15:val="{EB3F6751-5099-4BE5-8D37-518EB7B2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2010-05-06T13:11:00Z</dcterms:created>
  <dcterms:modified xsi:type="dcterms:W3CDTF">2017-04-10T04:14:00Z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1033-9.1.0.4746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