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A6" w:rsidRDefault="00634CA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نعس أحدكم وهو يصلي فليرقد</w:t>
      </w:r>
    </w:p>
    <w:p w:rsidR="00413DB1" w:rsidRDefault="00634CA6" w:rsidP="00634CA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13DB1" w:rsidRDefault="00634CA6" w:rsidP="00634CA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نعس أحدكم وهو يصلي فليرقد،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حتى يذهب عنه النوم، فإن أحدكم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إذا صلى وهو ناعس، لا يدري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لعله </w:t>
      </w:r>
      <w:r>
        <w:rPr>
          <w:rFonts w:ascii="Traditional Arabic" w:hAnsi="Traditional Arabic" w:cs="Traditional Arabic"/>
          <w:sz w:val="36"/>
          <w:szCs w:val="36"/>
          <w:rtl/>
        </w:rPr>
        <w:t>يستغفر فيسب نفسه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413DB1" w:rsidRDefault="00634CA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13DB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13DB1"/>
    <w:rsid w:val="00413DB1"/>
    <w:rsid w:val="006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5E69"/>
  <w15:docId w15:val="{41A03D9E-AF5F-4E5C-897C-23813B0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2015-02-07T15:39:00Z</dcterms:created>
  <dcterms:modified xsi:type="dcterms:W3CDTF">2017-03-30T10:02:00Z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