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0" w:rsidRDefault="00CA78D0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صلى ف</w:t>
      </w:r>
      <w:r>
        <w:rPr>
          <w:rFonts w:ascii="Traditional Arabic" w:hAnsi="Traditional Arabic" w:cs="Traditional Arabic"/>
          <w:sz w:val="36"/>
          <w:szCs w:val="36"/>
          <w:rtl/>
        </w:rPr>
        <w:t>ي اليوم والليلة اثنتي عشرة ركعة</w:t>
      </w:r>
    </w:p>
    <w:p w:rsidR="00F503E1" w:rsidRDefault="00CA78D0" w:rsidP="00CA78D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503E1" w:rsidRDefault="00CA78D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صلى في اليوم والليلة اثنتي عشرة ركعة </w:t>
      </w: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تطوعا بنى الله له بيتا في الجنة</w:t>
      </w:r>
      <w:bookmarkEnd w:id="0"/>
    </w:p>
    <w:p w:rsidR="00F503E1" w:rsidRDefault="00CA78D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</w:p>
    <w:sectPr w:rsidR="00F503E1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503E1"/>
    <w:rsid w:val="00CA78D0"/>
    <w:rsid w:val="00F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B770"/>
  <w15:docId w15:val="{DFEAACC6-406E-4635-97D6-5BD4CA9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2015-02-05T08:22:00Z</dcterms:created>
  <dcterms:modified xsi:type="dcterms:W3CDTF">2017-03-29T16:16:00Z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